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 xml:space="preserve">Подаци о конкурсу- </w:t>
            </w:r>
            <w:r>
              <w:rPr>
                <w:rFonts w:eastAsia="Times New Roman" w:cs="Times New Roman" w:ascii="Times New Roman" w:hAnsi="Times New Roman"/>
                <w:b/>
                <w:color w:val="auto"/>
                <w:kern w:val="0"/>
                <w:sz w:val="20"/>
                <w:szCs w:val="22"/>
                <w:lang w:val="sr-RS" w:eastAsia="en-US" w:bidi="ar-SA"/>
              </w:rPr>
              <w:t>Јавни</w:t>
            </w:r>
            <w:r>
              <w:rPr>
                <w:rFonts w:eastAsia="Times New Roman" w:cs="Times New Roman" w:ascii="Times New Roman" w:hAnsi="Times New Roman"/>
                <w:b/>
                <w:color w:val="auto"/>
                <w:kern w:val="0"/>
                <w:sz w:val="20"/>
                <w:szCs w:val="22"/>
                <w:lang w:val="sr-RS" w:eastAsia="en-US" w:bidi="ar-SA"/>
              </w:rPr>
              <w:t xml:space="preserve">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ПОСЛОВИ ЈАВНИХ НАБАВКИ</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sz w:val="20"/>
                <w:szCs w:val="20"/>
              </w:rPr>
            </w:pPr>
            <w:r>
              <w:rPr>
                <w:rFonts w:cs="Times New Roman" w:ascii="Times New Roman" w:hAnsi="Times New Roman"/>
                <w:color w:val="auto"/>
                <w:kern w:val="0"/>
                <w:sz w:val="20"/>
                <w:szCs w:val="20"/>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022812055"/>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850884539"/>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774513057"/>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669721894"/>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7597238"/>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12"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lang w:val="sr-RS"/>
              </w:rPr>
            </w:pPr>
            <w:r>
              <w:rPr>
                <w:rFonts w:ascii="Times New Roman" w:hAnsi="Times New Roman"/>
                <w:lang w:val="sr-RS"/>
              </w:rPr>
              <w:t>Сертификат за службеника за јавне набавке</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1744360275"/>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LibreOffice/7.3.2.2$Windows_X86_64 LibreOffice_project/49f2b1bff42cfccbd8f788c8dc32c1c309559be0</Application>
  <AppVersion>15.0000</AppVersion>
  <Pages>8</Pages>
  <Words>1926</Words>
  <Characters>10908</Characters>
  <CharactersWithSpaces>13218</CharactersWithSpaces>
  <Paragraphs>324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cp:lastPrinted>2026-02-24T10:41:15Z</cp:lastPrinted>
  <dcterms:modified xsi:type="dcterms:W3CDTF">2026-02-24T10:44:58Z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